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42D7B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7B" w:rsidRDefault="00B42D7B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42D7B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2D7B" w:rsidRDefault="00B42D7B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D7B" w:rsidRDefault="00B42D7B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42D7B" w:rsidRPr="006355F5" w:rsidRDefault="00B42D7B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B42D7B" w:rsidRDefault="00B42D7B" w:rsidP="008C5BD5">
                  <w:pPr>
                    <w:pStyle w:val="ConsPlusTitle"/>
                    <w:jc w:val="center"/>
                  </w:pPr>
                </w:p>
                <w:p w:rsidR="00B42D7B" w:rsidRDefault="007E3914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B42D7B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42D7B" w:rsidRDefault="00B42D7B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B42D7B" w:rsidRDefault="00FF7DE6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№6</w:t>
                  </w:r>
                  <w:bookmarkStart w:id="0" w:name="_GoBack"/>
                  <w:bookmarkEnd w:id="0"/>
                </w:p>
                <w:p w:rsidR="00B42D7B" w:rsidRDefault="00B42D7B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B42D7B" w:rsidRPr="00385EB8" w:rsidRDefault="00FF7DE6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FF7DE6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Об организации обучения на дому.</w:t>
                  </w:r>
                </w:p>
              </w:tc>
            </w:tr>
          </w:tbl>
          <w:p w:rsidR="00B42D7B" w:rsidRDefault="00B42D7B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2D7B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F7DE6">
              <w:rPr>
                <w:b/>
                <w:sz w:val="28"/>
                <w:szCs w:val="28"/>
              </w:rPr>
              <w:t>Письмо Министерства просвещения РФ от 24 ноября 2021 г. № ДГ-2121/07 «О направлении методических рекомендаций»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Утверждены методические рекомендации об организации обучения на дому обучающихся с ограниченными возможностями здоровья, с инвалидностью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Рекомендациями определены задачи организации такого обучения, в числе которых - создание специальных условий для социализации учащихся, реализации программ их воспитания, а также для успешного освоения учащимися основных и дополнительных общеобразовательных программ, адаптированных для их обучения.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Для организации обучения учащегося на дому его родитель или законный представитель представляют в образовательную организацию: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 xml:space="preserve">заявление об организации обучения на дому по адаптированной основной общеобразовательной программе;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- 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обучения;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- заключение психолого-медико-педагогической комиссии.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 xml:space="preserve">Между образовательной организацией и родителем (законным представителем) заключается договор об оказании образовательных услуг, в котором указывается срок его действия. Действие такого договора ограничивается сроками заключения медицинской организации (медицинской справки) и не может превышать 1 учебный год. </w:t>
            </w:r>
          </w:p>
          <w:p w:rsidR="00FF7DE6" w:rsidRPr="00FF7DE6" w:rsidRDefault="00FF7DE6" w:rsidP="00FF7DE6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F7DE6">
              <w:rPr>
                <w:sz w:val="28"/>
                <w:szCs w:val="28"/>
              </w:rPr>
              <w:tab/>
              <w:t>В приложениях к рекомендациям закреплены формы необходимых документов, в том числе - договора о получении образования на дому.</w:t>
            </w:r>
          </w:p>
          <w:p w:rsidR="00B42D7B" w:rsidRPr="006A14EF" w:rsidRDefault="00B42D7B" w:rsidP="00FF7DE6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2D7B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7B" w:rsidRDefault="00B42D7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42D7B" w:rsidRPr="00D52B05" w:rsidRDefault="00B42D7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42D7B" w:rsidRPr="00D52B05" w:rsidRDefault="00B42D7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Тел.факс: 57-64-69,  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</w:p>
          <w:p w:rsidR="00B42D7B" w:rsidRPr="00D52B05" w:rsidRDefault="00B42D7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B42D7B" w:rsidRDefault="007E3914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B42D7B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42D7B" w:rsidRDefault="00B42D7B" w:rsidP="00B42D7B"/>
    <w:p w:rsidR="00B42D7B" w:rsidRDefault="00B42D7B" w:rsidP="00B42D7B">
      <w:pPr>
        <w:ind w:left="-851"/>
      </w:pPr>
    </w:p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42D7B" w:rsidRDefault="00B42D7B" w:rsidP="00B42D7B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7B"/>
    <w:rsid w:val="007E3914"/>
    <w:rsid w:val="00B014CC"/>
    <w:rsid w:val="00B42D7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0F34"/>
  <w15:chartTrackingRefBased/>
  <w15:docId w15:val="{45883E81-DDDA-4938-849C-B34B9CB9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4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4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D7B"/>
    <w:rPr>
      <w:color w:val="0000FF"/>
      <w:u w:val="single"/>
    </w:rPr>
  </w:style>
  <w:style w:type="paragraph" w:customStyle="1" w:styleId="ConsPlusTitlePage">
    <w:name w:val="ConsPlusTitlePage"/>
    <w:uiPriority w:val="99"/>
    <w:rsid w:val="00B42D7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2022-02-02T11:45:00Z</dcterms:created>
  <dcterms:modified xsi:type="dcterms:W3CDTF">2022-02-03T09:11:00Z</dcterms:modified>
</cp:coreProperties>
</file>